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E4728D6" wp14:paraId="0E3E09A8" wp14:textId="6EEE54BE">
      <w:pPr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="2F29C8A5">
        <w:drawing>
          <wp:inline xmlns:wp14="http://schemas.microsoft.com/office/word/2010/wordprocessingDrawing" wp14:editId="17491B3A" wp14:anchorId="7F0DF467">
            <wp:extent cx="5276850" cy="1476375"/>
            <wp:effectExtent l="0" t="0" r="0" b="0"/>
            <wp:docPr id="130201925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02019251" name=""/>
                    <pic:cNvPicPr/>
                  </pic:nvPicPr>
                  <pic:blipFill>
                    <a:blip xmlns:r="http://schemas.openxmlformats.org/officeDocument/2006/relationships" r:embed="rId5456813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E4728D6" wp14:paraId="2FA8ACF1" wp14:textId="255DDEB6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44F3FB92" wp14:paraId="165053AF" wp14:textId="1DD560A6">
      <w:pPr>
        <w:pStyle w:val="Normal"/>
        <w:spacing w:line="360" w:lineRule="auto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4F3FB92" w:rsidR="2F29C8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Table Tennis Ireland Validator Process</w:t>
      </w:r>
    </w:p>
    <w:p xmlns:wp14="http://schemas.microsoft.com/office/word/2010/wordml" w:rsidP="44F3FB92" wp14:paraId="15BE45FF" wp14:textId="7DC0B835">
      <w:pPr>
        <w:pStyle w:val="Normal"/>
        <w:spacing w:line="360" w:lineRule="auto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Validation of documents identity &amp; address </w:t>
      </w:r>
      <w:r w:rsidRPr="44F3FB92" w:rsidR="3D4BC4E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</w:t>
      </w: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alidation </w:t>
      </w:r>
      <w:r w:rsidRPr="44F3FB92" w:rsidR="5F7714D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is r</w:t>
      </w: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equired by G</w:t>
      </w:r>
      <w:r w:rsidRPr="44F3FB92" w:rsidR="3B1499B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arda </w:t>
      </w: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</w:t>
      </w:r>
      <w:r w:rsidRPr="44F3FB92" w:rsidR="4D0AC84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ational </w:t>
      </w: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</w:t>
      </w:r>
      <w:r w:rsidRPr="44F3FB92" w:rsidR="7B0A604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etting </w:t>
      </w: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</w:t>
      </w:r>
      <w:r w:rsidRPr="44F3FB92" w:rsidR="555C3E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ureau (GNVB</w:t>
      </w:r>
      <w:r w:rsidRPr="44F3FB92" w:rsidR="555C3E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).</w:t>
      </w: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validation required by GNVB refers to the process by which an individual certifies that a copy of a document is a true and 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>accurate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reproduction of the original. </w:t>
      </w:r>
    </w:p>
    <w:p xmlns:wp14="http://schemas.microsoft.com/office/word/2010/wordml" w:rsidP="44F3FB92" wp14:paraId="58F4AE7B" wp14:textId="2DA6A960">
      <w:pPr>
        <w:pStyle w:val="Normal"/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person 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>validating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must have seen the </w:t>
      </w:r>
      <w:r w:rsidRPr="44F3FB92" w:rsidR="791F41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original document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must 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>state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that the copy</w:t>
      </w:r>
      <w:r w:rsidRPr="44F3FB92" w:rsidR="4E1D1F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document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F3FB92" w:rsidR="373FB3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the same as the </w:t>
      </w:r>
      <w:r w:rsidRPr="44F3FB92" w:rsidR="791F41C1">
        <w:rPr>
          <w:rFonts w:ascii="Aptos" w:hAnsi="Aptos" w:eastAsia="Aptos" w:cs="Aptos"/>
          <w:noProof w:val="0"/>
          <w:sz w:val="24"/>
          <w:szCs w:val="24"/>
          <w:lang w:val="en-US"/>
        </w:rPr>
        <w:t>original which was presented at the time of validation.</w:t>
      </w:r>
    </w:p>
    <w:p xmlns:wp14="http://schemas.microsoft.com/office/word/2010/wordml" w:rsidP="44F3FB92" wp14:paraId="6983102E" wp14:textId="53ADD4A4">
      <w:pPr>
        <w:pStyle w:val="Normal"/>
        <w:spacing w:line="360" w:lineRule="auto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ensure a thorough validation process, 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organisations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must 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validate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identity documents in 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person, and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maintain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 auditable process in which: </w:t>
      </w:r>
    </w:p>
    <w:p xmlns:wp14="http://schemas.microsoft.com/office/word/2010/wordml" w:rsidP="44F3FB92" wp14:paraId="5DA980D9" wp14:textId="41A02535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validator must physically see the documents to confirm the vetting subject matches the documents. </w:t>
      </w:r>
    </w:p>
    <w:p xmlns:wp14="http://schemas.microsoft.com/office/word/2010/wordml" w:rsidP="44F3FB92" wp14:paraId="305AEE8E" wp14:textId="57E3C9FD">
      <w:pPr>
        <w:pStyle w:val="ListParagraph"/>
        <w:numPr>
          <w:ilvl w:val="0"/>
          <w:numId w:val="2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 following details must be recorded in the designated section of the NVB1 form: </w:t>
      </w:r>
    </w:p>
    <w:p xmlns:wp14="http://schemas.microsoft.com/office/word/2010/wordml" w:rsidP="44F3FB92" wp14:paraId="66B93D79" wp14:textId="74E841D1">
      <w:pPr>
        <w:pStyle w:val="ListParagraph"/>
        <w:numPr>
          <w:ilvl w:val="0"/>
          <w:numId w:val="3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Document type and reference number (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e.g.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Passport number) </w:t>
      </w:r>
    </w:p>
    <w:p xmlns:wp14="http://schemas.microsoft.com/office/word/2010/wordml" w:rsidP="44F3FB92" wp14:paraId="21C96C8E" wp14:textId="60A1A1B3">
      <w:pPr>
        <w:pStyle w:val="ListParagraph"/>
        <w:numPr>
          <w:ilvl w:val="0"/>
          <w:numId w:val="3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date of validation must be recorded. </w:t>
      </w:r>
    </w:p>
    <w:p xmlns:wp14="http://schemas.microsoft.com/office/word/2010/wordml" w:rsidP="44F3FB92" wp14:paraId="2C078E63" wp14:textId="59212BB3">
      <w:pPr>
        <w:pStyle w:val="ListParagraph"/>
        <w:numPr>
          <w:ilvl w:val="0"/>
          <w:numId w:val="3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validator’s name, position, and 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organisation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must be clearly recorded and their name printed and signed.</w:t>
      </w:r>
    </w:p>
    <w:p w:rsidR="7737BE86" w:rsidP="44F3FB92" w:rsidRDefault="7737BE86" w14:paraId="037EE8A8" w14:textId="0C8FC71B">
      <w:pPr>
        <w:pStyle w:val="ListParagraph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4F3FB92" w:rsidR="7737BE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This must be filled in BLOCK CAPITALS and wet signature only.</w:t>
      </w:r>
    </w:p>
    <w:p w:rsidR="44F3FB92" w:rsidP="44F3FB92" w:rsidRDefault="44F3FB92" w14:paraId="226EB97A" w14:textId="56EE0A24">
      <w:pPr>
        <w:pStyle w:val="ListParagraph"/>
        <w:spacing w:line="360" w:lineRule="auto"/>
        <w:ind w:left="144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17A156B" w:rsidP="44F3FB92" w:rsidRDefault="017A156B" w14:paraId="09513A0C" w14:textId="5DF19C06">
      <w:pPr>
        <w:pStyle w:val="Normal"/>
        <w:spacing w:line="360" w:lineRule="auto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4F3FB92" w:rsidR="017A15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Who can be a validator:</w:t>
      </w:r>
    </w:p>
    <w:p w:rsidR="4FEBE338" w:rsidP="44F3FB92" w:rsidRDefault="4FEBE338" w14:paraId="1D2FC91B" w14:textId="2C12061B">
      <w:pPr>
        <w:spacing w:line="360" w:lineRule="auto"/>
        <w:ind w:left="0"/>
      </w:pPr>
      <w:r w:rsidRPr="44F3FB92" w:rsidR="4FEBE338">
        <w:rPr>
          <w:rFonts w:ascii="Aptos" w:hAnsi="Aptos" w:eastAsia="Aptos" w:cs="Aptos"/>
          <w:noProof w:val="0"/>
          <w:sz w:val="24"/>
          <w:szCs w:val="24"/>
          <w:lang w:val="en-US"/>
        </w:rPr>
        <w:t>Clubs can verify vetting for their members</w:t>
      </w:r>
      <w:r w:rsidRPr="44F3FB92" w:rsidR="4FEBE3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F3FB92" w:rsidR="4FEBE3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of their club. The following club officers can verify documents (are validators): </w:t>
      </w:r>
    </w:p>
    <w:p w:rsidR="4FEBE338" w:rsidP="44F3FB92" w:rsidRDefault="4FEBE338" w14:paraId="0E749143" w14:textId="5385BB0F">
      <w:pPr>
        <w:spacing w:line="360" w:lineRule="auto"/>
        <w:ind w:left="0"/>
      </w:pPr>
      <w:r w:rsidRPr="44F3FB92" w:rsidR="4FEBE338">
        <w:rPr>
          <w:rFonts w:ascii="Aptos" w:hAnsi="Aptos" w:eastAsia="Aptos" w:cs="Aptos"/>
          <w:noProof w:val="0"/>
          <w:sz w:val="24"/>
          <w:szCs w:val="24"/>
          <w:lang w:val="en-US"/>
        </w:rPr>
        <w:t>Club Chair, Secretary, Treasurer and Child Safeguarding Officer.</w:t>
      </w:r>
    </w:p>
    <w:p w:rsidR="5A6B01E2" w:rsidP="44F3FB92" w:rsidRDefault="5A6B01E2" w14:paraId="606E9B24" w14:textId="49AE50B5">
      <w:pPr>
        <w:pStyle w:val="Normal"/>
        <w:spacing w:line="360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130CBAF" w:rsidP="44F3FB92" w:rsidRDefault="2130CBAF" w14:paraId="4CEDA9EA" w14:textId="01FE6388">
      <w:pPr>
        <w:spacing w:line="360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4F3FB92" w:rsidR="2130CBA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Validating </w:t>
      </w:r>
      <w:r w:rsidRPr="44F3FB92" w:rsidR="6D0CD1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Applicants Over 18</w:t>
      </w:r>
    </w:p>
    <w:p w:rsidR="68CE106D" w:rsidP="44F3FB92" w:rsidRDefault="68CE106D" w14:paraId="1CB1A94C" w14:textId="349A7445">
      <w:pPr>
        <w:spacing w:line="360" w:lineRule="auto"/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proof of identity document must be 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deemed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acceptable</w:t>
      </w:r>
      <w:r w:rsidRPr="44F3FB92" w:rsidR="3238C5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based on the criteria below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</w:p>
    <w:p w:rsidR="68CE106D" w:rsidP="44F3FB92" w:rsidRDefault="68CE106D" w14:paraId="27700504" w14:textId="02F6A25C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document being relied upon must be current and not expired. </w:t>
      </w:r>
    </w:p>
    <w:p w:rsidR="68CE106D" w:rsidP="44F3FB92" w:rsidRDefault="68CE106D" w14:paraId="29E386F5" w14:textId="2D89C0F1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identity document must be a valid form of identification (as per the Identity </w:t>
      </w:r>
      <w:r w:rsidRPr="44F3FB92" w:rsidR="09289977">
        <w:rPr>
          <w:rFonts w:ascii="Aptos" w:hAnsi="Aptos" w:eastAsia="Aptos" w:cs="Aptos"/>
          <w:noProof w:val="0"/>
          <w:sz w:val="24"/>
          <w:szCs w:val="24"/>
          <w:lang w:val="en-US"/>
        </w:rPr>
        <w:t>table below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).</w:t>
      </w:r>
    </w:p>
    <w:p w:rsidR="68CE106D" w:rsidP="44F3FB92" w:rsidRDefault="68CE106D" w14:paraId="7DA3E76A" w14:textId="47EB464F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photograph on the original document must match the vetting subject and must be of high quality and clear. </w:t>
      </w:r>
    </w:p>
    <w:p w:rsidR="68CE106D" w:rsidP="44F3FB92" w:rsidRDefault="68CE106D" w14:paraId="7195B2BF" w14:textId="3C91A22C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The name on the document must match the name provided on the NVB1 Form.</w:t>
      </w:r>
    </w:p>
    <w:p w:rsidR="68CE106D" w:rsidP="44F3FB92" w:rsidRDefault="68CE106D" w14:paraId="667D45C2" w14:textId="04BA9357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date of birth on the document must match the date provided on the NVB1 Form.</w:t>
      </w:r>
    </w:p>
    <w:p w:rsidR="68CE106D" w:rsidP="44F3FB92" w:rsidRDefault="68CE106D" w14:paraId="1DC169D9" w14:textId="16A5C7AB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>The</w:t>
      </w:r>
      <w:r w:rsidRPr="44F3FB92" w:rsidR="68CE10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copy of the document produced must also be clear and legible for audit purposes.</w:t>
      </w:r>
    </w:p>
    <w:p w:rsidR="44F3FB92" w:rsidP="44F3FB92" w:rsidRDefault="44F3FB92" w14:paraId="449ABA3C" w14:textId="59C88687">
      <w:pPr>
        <w:pStyle w:val="ListParagraph"/>
        <w:spacing w:line="360" w:lineRule="auto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6015F12" w:rsidP="44F3FB92" w:rsidRDefault="76015F12" w14:paraId="36491B16" w14:textId="29BC5421">
      <w:pPr>
        <w:spacing w:line="360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F3FB92" w:rsidR="76015F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Next?</w:t>
      </w:r>
    </w:p>
    <w:p w:rsidR="76015F12" w:rsidP="44F3FB92" w:rsidRDefault="76015F12" w14:paraId="59442763" w14:textId="1B334B22">
      <w:pPr>
        <w:spacing w:before="0" w:beforeAutospacing="off" w:after="160" w:afterAutospacing="off" w:line="360" w:lineRule="auto"/>
        <w:ind w:left="360" w:right="0" w:hanging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4F3FB92" w:rsidR="76015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4F3FB92" w:rsidR="76015F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being vetted </w:t>
      </w:r>
      <w:r w:rsidRPr="44F3FB92" w:rsidR="76015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emails a photo/scan of the completed form (both sides) and also the ID and proof of address documents to info@tabletennisireland.com. T</w:t>
      </w:r>
      <w:r w:rsidRPr="44F3FB92" w:rsidR="76015F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individual being vetted </w:t>
      </w:r>
      <w:r w:rsidRPr="44F3FB92" w:rsidR="76015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must also post the original completed form (both sides) to Garda Vetting, Table Tennis Ireland, Irish Sport HQ, Sport Ireland Campus, Blanchardstown D15DY6. </w:t>
      </w:r>
      <w:r w:rsidRPr="44F3FB92" w:rsidR="76015F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 not the responsibility of the validator to email or post the documents, this is to reduce risk of retention of members soft copy documents.</w:t>
      </w:r>
    </w:p>
    <w:p w:rsidR="44F3FB92" w:rsidP="44F3FB92" w:rsidRDefault="44F3FB92" w14:paraId="4D6D977E" w14:textId="0FDE5539">
      <w:pPr>
        <w:pStyle w:val="Normal"/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740EFFB" w:rsidP="44F3FB92" w:rsidRDefault="3740EFFB" w14:paraId="114B679A" w14:textId="0037BA8F">
      <w:p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3740EFFB">
        <w:drawing>
          <wp:inline wp14:editId="5248E34E" wp14:anchorId="1C2BA378">
            <wp:extent cx="5943600" cy="5457825"/>
            <wp:effectExtent l="0" t="0" r="0" b="0"/>
            <wp:docPr id="106152764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61527646" name=""/>
                    <pic:cNvPicPr/>
                  </pic:nvPicPr>
                  <pic:blipFill>
                    <a:blip xmlns:r="http://schemas.openxmlformats.org/officeDocument/2006/relationships" r:embed="rId20120851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6B01E2" w:rsidP="44F3FB92" w:rsidRDefault="5A6B01E2" w14:paraId="786AE59B" w14:textId="4FE93BE1">
      <w:p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7985CA" w:rsidP="007985CA" w:rsidRDefault="007985CA" w14:paraId="069F76CD" w14:textId="76F25656">
      <w:p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7985CA" w:rsidP="007985CA" w:rsidRDefault="007985CA" w14:paraId="1A0350A9" w14:textId="0EC42E8F">
      <w:p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7985CA" w:rsidP="007985CA" w:rsidRDefault="007985CA" w14:paraId="56DCFC73" w14:textId="681056B4">
      <w:p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7985CA" w:rsidP="007985CA" w:rsidRDefault="007985CA" w14:paraId="7D2DD1E8" w14:textId="7CF70103">
      <w:p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7985CA" w:rsidP="007985CA" w:rsidRDefault="007985CA" w14:paraId="43633FC7" w14:textId="6C1282C6">
      <w:pPr>
        <w:spacing w:line="36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CFE2DC2" w:rsidP="44F3FB92" w:rsidRDefault="1CFE2DC2" w14:paraId="6E80C3BA" w14:textId="578F73E0">
      <w:pPr>
        <w:spacing w:line="360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4F3FB92" w:rsidR="1CFE2DC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Validating </w:t>
      </w:r>
      <w:r w:rsidRPr="44F3FB92" w:rsidR="3740EFF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Applicants Under 18</w:t>
      </w:r>
    </w:p>
    <w:p w:rsidR="0C78AED6" w:rsidP="44F3FB92" w:rsidRDefault="0C78AED6" w14:paraId="790A4EE3" w14:textId="1B1FE485">
      <w:pPr>
        <w:spacing w:line="360" w:lineRule="auto"/>
      </w:pPr>
      <w:r w:rsidRPr="44F3FB92" w:rsidR="0C78AED6">
        <w:rPr>
          <w:rFonts w:ascii="Aptos" w:hAnsi="Aptos" w:eastAsia="Aptos" w:cs="Aptos"/>
          <w:noProof w:val="0"/>
          <w:sz w:val="24"/>
          <w:szCs w:val="24"/>
          <w:lang w:val="en-US"/>
        </w:rPr>
        <w:t>In circumstances where an applicant under the age of 18, does not have documentation outlined in the accepted documentation table, the following will</w:t>
      </w:r>
      <w:r w:rsidRPr="44F3FB92" w:rsidR="1955F3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also</w:t>
      </w:r>
      <w:r w:rsidRPr="44F3FB92" w:rsidR="0C78AE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 accepted.</w:t>
      </w:r>
      <w:r w:rsidRPr="44F3FB92" w:rsidR="0BB8905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BB8905B" w:rsidP="44F3FB92" w:rsidRDefault="0BB8905B" w14:paraId="3A4DA338" w14:textId="20F172ED">
      <w:p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0BB890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Two documents must be </w:t>
      </w:r>
      <w:r w:rsidRPr="44F3FB92" w:rsidR="0BB890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submitted</w:t>
      </w:r>
      <w:r w:rsidRPr="44F3FB92" w:rsidR="0BB890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one to support identification and one to support proof of address.</w:t>
      </w:r>
    </w:p>
    <w:p w:rsidR="54C75B2C" w:rsidP="44F3FB92" w:rsidRDefault="54C75B2C" w14:paraId="33EB920E" w14:textId="0E5AB396">
      <w:pPr>
        <w:spacing w:line="36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4C75B2C">
        <w:drawing>
          <wp:inline wp14:editId="49E52247" wp14:anchorId="3B8A70CD">
            <wp:extent cx="5819775" cy="1457325"/>
            <wp:effectExtent l="0" t="0" r="0" b="0"/>
            <wp:docPr id="130724226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07242266" name=""/>
                    <pic:cNvPicPr/>
                  </pic:nvPicPr>
                  <pic:blipFill>
                    <a:blip xmlns:r="http://schemas.openxmlformats.org/officeDocument/2006/relationships" r:embed="rId125924348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6B01E2" w:rsidP="44F3FB92" w:rsidRDefault="5A6B01E2" w14:paraId="14F1A853" w14:textId="1D7F758B">
      <w:pPr>
        <w:spacing w:line="360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C75B2C" w:rsidP="44F3FB92" w:rsidRDefault="54C75B2C" w14:paraId="0052C6A2" w14:textId="3431D256">
      <w:pPr>
        <w:spacing w:line="360" w:lineRule="auto"/>
        <w:jc w:val="left"/>
      </w:pPr>
      <w:r w:rsidRPr="44F3FB92" w:rsidR="54C75B2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Retention and Storage of Documents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4C75B2C" w:rsidP="44F3FB92" w:rsidRDefault="54C75B2C" w14:paraId="630E8746" w14:textId="3C9E35B5">
      <w:pPr>
        <w:spacing w:line="360" w:lineRule="auto"/>
        <w:jc w:val="left"/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GNVB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requires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retention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identity documents and consent forms. </w:t>
      </w:r>
    </w:p>
    <w:p w:rsidR="54C75B2C" w:rsidP="44F3FB92" w:rsidRDefault="54C75B2C" w14:paraId="649C97C2" w14:textId="376A0FDA">
      <w:pPr>
        <w:spacing w:line="360" w:lineRule="auto"/>
        <w:jc w:val="left"/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Purpose of Retention: </w:t>
      </w:r>
    </w:p>
    <w:p w:rsidR="54C75B2C" w:rsidP="44F3FB92" w:rsidRDefault="54C75B2C" w14:paraId="356A8B6B" w14:textId="2B19EA2F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Prevent,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detect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investigate offences under the Act. </w:t>
      </w:r>
    </w:p>
    <w:p w:rsidR="54C75B2C" w:rsidP="44F3FB92" w:rsidRDefault="54C75B2C" w14:paraId="1002C98F" w14:textId="66CD2BAB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Enable the GNVB to perform its functions. Ensure compliance with the vetting process. </w:t>
      </w:r>
    </w:p>
    <w:p w:rsidR="54C75B2C" w:rsidP="44F3FB92" w:rsidRDefault="54C75B2C" w14:paraId="381EA2CC" w14:textId="4E6AE457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Assist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investigating breaches. </w:t>
      </w:r>
    </w:p>
    <w:p w:rsidR="357315DE" w:rsidP="44F3FB92" w:rsidRDefault="357315DE" w14:paraId="0C657E28" w14:textId="65AA5EF1">
      <w:pPr>
        <w:pStyle w:val="Normal"/>
        <w:spacing w:line="360" w:lineRule="auto"/>
        <w:ind w:lef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357315D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Who will </w:t>
      </w:r>
      <w:r w:rsidRPr="44F3FB92" w:rsidR="357315DE">
        <w:rPr>
          <w:rFonts w:ascii="Aptos" w:hAnsi="Aptos" w:eastAsia="Aptos" w:cs="Aptos"/>
          <w:noProof w:val="0"/>
          <w:sz w:val="24"/>
          <w:szCs w:val="24"/>
          <w:lang w:val="en-US"/>
        </w:rPr>
        <w:t>retain</w:t>
      </w:r>
      <w:r w:rsidRPr="44F3FB92" w:rsidR="357315D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these documents?</w:t>
      </w:r>
    </w:p>
    <w:p w:rsidR="357315DE" w:rsidP="44F3FB92" w:rsidRDefault="357315DE" w14:paraId="521C9BF2" w14:textId="2F9F6405">
      <w:pPr>
        <w:pStyle w:val="ListParagraph"/>
        <w:numPr>
          <w:ilvl w:val="0"/>
          <w:numId w:val="7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357315D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Table Tennis Ireland will safely store the documents both hard and soft copies. Once the individual </w:t>
      </w:r>
    </w:p>
    <w:p w:rsidR="54C75B2C" w:rsidP="44F3FB92" w:rsidRDefault="54C75B2C" w14:paraId="38C4ABBC" w14:textId="51E954BA">
      <w:pPr>
        <w:pStyle w:val="Normal"/>
        <w:spacing w:line="360" w:lineRule="auto"/>
        <w:ind w:lef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Data to be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Retained:</w:t>
      </w:r>
    </w:p>
    <w:p w:rsidR="54C75B2C" w:rsidP="44F3FB92" w:rsidRDefault="54C75B2C" w14:paraId="284F309E" w14:textId="2A02B542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Retain original NVB1 form for the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initial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6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month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a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minimum.</w:t>
      </w:r>
    </w:p>
    <w:p w:rsidR="54C75B2C" w:rsidP="44F3FB92" w:rsidRDefault="54C75B2C" w14:paraId="1D77DDE3" w14:textId="12682E24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After the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initial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6-month period a soft copy of the NVB1 form will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suffice.</w:t>
      </w:r>
    </w:p>
    <w:p w:rsidR="54C75B2C" w:rsidP="44F3FB92" w:rsidRDefault="54C75B2C" w14:paraId="58241630" w14:textId="0D39C8BA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Soft copies of proof of identity and proof of address documents. Retention periods required by Garda National Vetting Bureau (other oversight or government bodies may require you to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retain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documents longer) </w:t>
      </w:r>
    </w:p>
    <w:p w:rsidR="54C75B2C" w:rsidP="44F3FB92" w:rsidRDefault="54C75B2C" w14:paraId="4DFAED71" w14:textId="3D3504C0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Active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Individuals</w:t>
      </w:r>
      <w:r w:rsidRPr="44F3FB92" w:rsidR="7B3720A9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 w:rsidRPr="44F3FB92" w:rsidR="7B3720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Data 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retained</w:t>
      </w: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duration of engagement. </w:t>
      </w:r>
    </w:p>
    <w:p w:rsidR="54C75B2C" w:rsidP="44F3FB92" w:rsidRDefault="54C75B2C" w14:paraId="542C4ADC" w14:textId="171696BA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4F3FB92" w:rsidR="54C75B2C">
        <w:rPr>
          <w:rFonts w:ascii="Aptos" w:hAnsi="Aptos" w:eastAsia="Aptos" w:cs="Aptos"/>
          <w:noProof w:val="0"/>
          <w:sz w:val="24"/>
          <w:szCs w:val="24"/>
          <w:lang w:val="en-US"/>
        </w:rPr>
        <w:t>Inactive Individuals: Data destroyed within 12 months of departure.</w:t>
      </w:r>
    </w:p>
    <w:p w:rsidR="5A6B01E2" w:rsidP="5A6B01E2" w:rsidRDefault="5A6B01E2" w14:paraId="08E6731C" w14:textId="095F521B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5d804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db2c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fce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b62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fe1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927d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76423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E52F6F"/>
    <w:rsid w:val="007985CA"/>
    <w:rsid w:val="017A156B"/>
    <w:rsid w:val="05DC22E3"/>
    <w:rsid w:val="08546D0B"/>
    <w:rsid w:val="09289977"/>
    <w:rsid w:val="0BB8905B"/>
    <w:rsid w:val="0C3F03EF"/>
    <w:rsid w:val="0C78AED6"/>
    <w:rsid w:val="177BAE35"/>
    <w:rsid w:val="1786F7D1"/>
    <w:rsid w:val="17890ECB"/>
    <w:rsid w:val="18809784"/>
    <w:rsid w:val="1955F377"/>
    <w:rsid w:val="1CFE2DC2"/>
    <w:rsid w:val="1F5AB4D7"/>
    <w:rsid w:val="1F9FB58D"/>
    <w:rsid w:val="2130CBAF"/>
    <w:rsid w:val="2381D2E7"/>
    <w:rsid w:val="2397776B"/>
    <w:rsid w:val="2479A99B"/>
    <w:rsid w:val="2AA848C3"/>
    <w:rsid w:val="2B91D460"/>
    <w:rsid w:val="2F29C8A5"/>
    <w:rsid w:val="3238C5A5"/>
    <w:rsid w:val="329248C9"/>
    <w:rsid w:val="332997A8"/>
    <w:rsid w:val="357315DE"/>
    <w:rsid w:val="36EF6A9D"/>
    <w:rsid w:val="373FB3A5"/>
    <w:rsid w:val="3740EFFB"/>
    <w:rsid w:val="382A5423"/>
    <w:rsid w:val="38620178"/>
    <w:rsid w:val="388795F1"/>
    <w:rsid w:val="38ED64BC"/>
    <w:rsid w:val="3B1499B0"/>
    <w:rsid w:val="3D4BC4EE"/>
    <w:rsid w:val="3E4728D6"/>
    <w:rsid w:val="3E4F46B1"/>
    <w:rsid w:val="3E93016D"/>
    <w:rsid w:val="42884B13"/>
    <w:rsid w:val="44F3FB92"/>
    <w:rsid w:val="476C4C3B"/>
    <w:rsid w:val="4D0AC847"/>
    <w:rsid w:val="4E1D1FA2"/>
    <w:rsid w:val="4FEBE338"/>
    <w:rsid w:val="54C75B2C"/>
    <w:rsid w:val="555C3EBE"/>
    <w:rsid w:val="5A6B01E2"/>
    <w:rsid w:val="5D6A36BC"/>
    <w:rsid w:val="5F7714DF"/>
    <w:rsid w:val="62F4D147"/>
    <w:rsid w:val="6392A5B2"/>
    <w:rsid w:val="67E52F6F"/>
    <w:rsid w:val="68C7F5DE"/>
    <w:rsid w:val="68CE106D"/>
    <w:rsid w:val="6CDA4888"/>
    <w:rsid w:val="6D0CD157"/>
    <w:rsid w:val="7347AE8A"/>
    <w:rsid w:val="76015F12"/>
    <w:rsid w:val="76365B51"/>
    <w:rsid w:val="7737BE86"/>
    <w:rsid w:val="791F41C1"/>
    <w:rsid w:val="79C9ADCD"/>
    <w:rsid w:val="7B0A6044"/>
    <w:rsid w:val="7B3720A9"/>
    <w:rsid w:val="7E94F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2F6F"/>
  <w15:chartTrackingRefBased/>
  <w15:docId w15:val="{1F35B01B-4BE9-4792-8813-0119589894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A6B01E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3.xml" Id="rId2012085137" /><Relationship Type="http://schemas.openxmlformats.org/officeDocument/2006/relationships/settings" Target="settings.xml" Id="rId2" /><Relationship Type="http://schemas.openxmlformats.org/officeDocument/2006/relationships/image" Target="/media/image2.jpg" Id="rId1259243481" /><Relationship Type="http://schemas.openxmlformats.org/officeDocument/2006/relationships/customXml" Target="../customXml/item2.xml" Id="rId2012085136" /><Relationship Type="http://schemas.openxmlformats.org/officeDocument/2006/relationships/styles" Target="styles.xml" Id="rId1" /><Relationship Type="http://schemas.openxmlformats.org/officeDocument/2006/relationships/customXml" Target="../customXml/item1.xml" Id="rId2012085135" /><Relationship Type="http://schemas.openxmlformats.org/officeDocument/2006/relationships/theme" Target="theme/theme1.xml" Id="rId5" /><Relationship Type="http://schemas.openxmlformats.org/officeDocument/2006/relationships/numbering" Target="numbering.xml" Id="Rd349bfa7eaff4900" /><Relationship Type="http://schemas.openxmlformats.org/officeDocument/2006/relationships/image" Target="/media/image.jpg" Id="rId2012085134" /><Relationship Type="http://schemas.openxmlformats.org/officeDocument/2006/relationships/fontTable" Target="fontTable.xml" Id="rId4" /><Relationship Type="http://schemas.openxmlformats.org/officeDocument/2006/relationships/image" Target="/media/image.png" Id="rId54568134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EDF666DE4D243BAF2D61DB255B719" ma:contentTypeVersion="15" ma:contentTypeDescription="Create a new document." ma:contentTypeScope="" ma:versionID="a74bc299461357167f38dfaf71be5dd8">
  <xsd:schema xmlns:xsd="http://www.w3.org/2001/XMLSchema" xmlns:xs="http://www.w3.org/2001/XMLSchema" xmlns:p="http://schemas.microsoft.com/office/2006/metadata/properties" xmlns:ns2="8c455223-94eb-4ad6-bd40-6e33c61ad72d" xmlns:ns3="07a47a64-76d1-42f5-9315-6f1df881c902" targetNamespace="http://schemas.microsoft.com/office/2006/metadata/properties" ma:root="true" ma:fieldsID="c0a3fe6fb0db345d982e3bce1b669e10" ns2:_="" ns3:_="">
    <xsd:import namespace="8c455223-94eb-4ad6-bd40-6e33c61ad72d"/>
    <xsd:import namespace="07a47a64-76d1-42f5-9315-6f1df881c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55223-94eb-4ad6-bd40-6e33c61a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dc3ded-e30c-4690-abbf-558b41649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7a64-76d1-42f5-9315-6f1df881c9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e42b99-0fdc-45b4-8455-0d725556ad66}" ma:internalName="TaxCatchAll" ma:showField="CatchAllData" ma:web="07a47a64-76d1-42f5-9315-6f1df881c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47a64-76d1-42f5-9315-6f1df881c902" xsi:nil="true"/>
    <lcf76f155ced4ddcb4097134ff3c332f xmlns="8c455223-94eb-4ad6-bd40-6e33c61ad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C131EF-A84F-4443-97DA-2824B3B86988}"/>
</file>

<file path=customXml/itemProps2.xml><?xml version="1.0" encoding="utf-8"?>
<ds:datastoreItem xmlns:ds="http://schemas.openxmlformats.org/officeDocument/2006/customXml" ds:itemID="{52D0EFCB-79C1-4455-9478-4F3453DF571C}"/>
</file>

<file path=customXml/itemProps3.xml><?xml version="1.0" encoding="utf-8"?>
<ds:datastoreItem xmlns:ds="http://schemas.openxmlformats.org/officeDocument/2006/customXml" ds:itemID="{2B314E91-BAB8-4DC9-8046-31DA7E4311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Doyle | Table Tennis Ireland</dc:creator>
  <keywords/>
  <dc:description/>
  <lastModifiedBy>Molly Doyle | Table Tennis Ireland</lastModifiedBy>
  <dcterms:created xsi:type="dcterms:W3CDTF">2025-08-19T10:14:26.0000000Z</dcterms:created>
  <dcterms:modified xsi:type="dcterms:W3CDTF">2025-09-03T12:30:14.5243716Z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0x01010039EEDF666DE4D243BAF2D61DB255B719</vt:lpwstr>
  </property>
  <property fmtid="{D5CDD505-2E9C-101B-9397-08002B2CF9AE}" pid="3" name="MediaServiceImageTags">
    <vt:lpwstr/>
  </property>
</Properties>
</file>